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21" w:rsidRPr="00B728DE" w:rsidRDefault="001E2021" w:rsidP="001E2021">
      <w:pPr>
        <w:widowControl/>
        <w:spacing w:before="69" w:after="69" w:line="360" w:lineRule="auto"/>
        <w:ind w:firstLine="480"/>
        <w:jc w:val="center"/>
        <w:rPr>
          <w:rFonts w:hint="eastAsia"/>
          <w:b/>
          <w:szCs w:val="21"/>
        </w:rPr>
      </w:pPr>
      <w:r w:rsidRPr="00B728DE">
        <w:rPr>
          <w:rFonts w:hAnsi="宋体"/>
          <w:b/>
          <w:szCs w:val="21"/>
        </w:rPr>
        <w:t>附表</w:t>
      </w:r>
      <w:r w:rsidRPr="00B728DE">
        <w:rPr>
          <w:b/>
          <w:szCs w:val="21"/>
        </w:rPr>
        <w:t xml:space="preserve">1  </w:t>
      </w:r>
      <w:r>
        <w:rPr>
          <w:rFonts w:hint="eastAsia"/>
          <w:b/>
          <w:szCs w:val="21"/>
        </w:rPr>
        <w:t>瑞士万通奖学金</w:t>
      </w:r>
      <w:r w:rsidRPr="00B728DE">
        <w:rPr>
          <w:rFonts w:hAnsi="宋体"/>
          <w:b/>
          <w:szCs w:val="21"/>
        </w:rPr>
        <w:t>学术成果</w:t>
      </w:r>
      <w:r>
        <w:rPr>
          <w:rFonts w:hAnsi="宋体" w:hint="eastAsia"/>
          <w:b/>
          <w:szCs w:val="21"/>
        </w:rPr>
        <w:t>计分标准</w:t>
      </w:r>
    </w:p>
    <w:tbl>
      <w:tblPr>
        <w:tblW w:w="0" w:type="auto"/>
        <w:tblLayout w:type="fixed"/>
        <w:tblLook w:val="0000"/>
      </w:tblPr>
      <w:tblGrid>
        <w:gridCol w:w="1399"/>
        <w:gridCol w:w="3949"/>
        <w:gridCol w:w="3174"/>
      </w:tblGrid>
      <w:tr w:rsidR="001E2021" w:rsidRPr="00B728DE" w:rsidTr="00FB3E87">
        <w:trPr>
          <w:trHeight w:val="570"/>
        </w:trPr>
        <w:tc>
          <w:tcPr>
            <w:tcW w:w="1399" w:type="dxa"/>
            <w:tcBorders>
              <w:top w:val="single" w:sz="4" w:space="0" w:color="auto"/>
              <w:left w:val="single" w:sz="4" w:space="0" w:color="auto"/>
              <w:bottom w:val="single" w:sz="4" w:space="0" w:color="auto"/>
              <w:right w:val="single" w:sz="4" w:space="0" w:color="auto"/>
            </w:tcBorders>
            <w:vAlign w:val="center"/>
          </w:tcPr>
          <w:p w:rsidR="001E2021" w:rsidRPr="00B728DE" w:rsidRDefault="001E2021" w:rsidP="00FB3E87">
            <w:pPr>
              <w:widowControl/>
              <w:jc w:val="center"/>
              <w:rPr>
                <w:b/>
                <w:bCs/>
                <w:kern w:val="0"/>
                <w:szCs w:val="21"/>
              </w:rPr>
            </w:pPr>
            <w:r w:rsidRPr="00B728DE">
              <w:rPr>
                <w:rFonts w:hAnsi="宋体"/>
                <w:b/>
                <w:bCs/>
                <w:kern w:val="0"/>
                <w:szCs w:val="21"/>
              </w:rPr>
              <w:t>项目</w:t>
            </w:r>
          </w:p>
        </w:tc>
        <w:tc>
          <w:tcPr>
            <w:tcW w:w="3949" w:type="dxa"/>
            <w:tcBorders>
              <w:top w:val="single" w:sz="4" w:space="0" w:color="auto"/>
              <w:left w:val="nil"/>
              <w:bottom w:val="single" w:sz="4" w:space="0" w:color="auto"/>
              <w:right w:val="single" w:sz="4" w:space="0" w:color="auto"/>
            </w:tcBorders>
            <w:vAlign w:val="center"/>
          </w:tcPr>
          <w:p w:rsidR="001E2021" w:rsidRPr="00B728DE" w:rsidRDefault="001E2021" w:rsidP="00FB3E87">
            <w:pPr>
              <w:widowControl/>
              <w:jc w:val="center"/>
              <w:rPr>
                <w:b/>
                <w:bCs/>
                <w:kern w:val="0"/>
                <w:szCs w:val="21"/>
              </w:rPr>
            </w:pPr>
            <w:r w:rsidRPr="00B728DE">
              <w:rPr>
                <w:rFonts w:hAnsi="宋体"/>
                <w:b/>
                <w:bCs/>
                <w:kern w:val="0"/>
                <w:szCs w:val="21"/>
              </w:rPr>
              <w:t>细化说明</w:t>
            </w:r>
          </w:p>
        </w:tc>
        <w:tc>
          <w:tcPr>
            <w:tcW w:w="3174" w:type="dxa"/>
            <w:tcBorders>
              <w:top w:val="single" w:sz="4" w:space="0" w:color="auto"/>
              <w:left w:val="nil"/>
              <w:bottom w:val="single" w:sz="4" w:space="0" w:color="auto"/>
              <w:right w:val="single" w:sz="4" w:space="0" w:color="auto"/>
            </w:tcBorders>
            <w:vAlign w:val="center"/>
          </w:tcPr>
          <w:p w:rsidR="001E2021" w:rsidRPr="00B728DE" w:rsidRDefault="001E2021" w:rsidP="00FB3E87">
            <w:pPr>
              <w:widowControl/>
              <w:jc w:val="center"/>
              <w:rPr>
                <w:b/>
                <w:bCs/>
                <w:kern w:val="0"/>
                <w:szCs w:val="21"/>
              </w:rPr>
            </w:pPr>
            <w:r>
              <w:rPr>
                <w:rFonts w:hAnsi="宋体" w:hint="eastAsia"/>
                <w:b/>
                <w:bCs/>
                <w:kern w:val="0"/>
                <w:szCs w:val="21"/>
              </w:rPr>
              <w:t>计分</w:t>
            </w:r>
          </w:p>
          <w:p w:rsidR="001E2021" w:rsidRPr="00B728DE" w:rsidRDefault="001E2021" w:rsidP="00FB3E87">
            <w:pPr>
              <w:widowControl/>
              <w:jc w:val="center"/>
              <w:rPr>
                <w:b/>
                <w:bCs/>
                <w:kern w:val="0"/>
                <w:szCs w:val="21"/>
              </w:rPr>
            </w:pPr>
            <w:r w:rsidRPr="00B728DE">
              <w:rPr>
                <w:rFonts w:hAnsi="宋体"/>
                <w:b/>
                <w:bCs/>
                <w:kern w:val="0"/>
                <w:szCs w:val="21"/>
              </w:rPr>
              <w:t>（分</w:t>
            </w:r>
            <w:r w:rsidRPr="00B728DE">
              <w:rPr>
                <w:b/>
                <w:bCs/>
                <w:kern w:val="0"/>
                <w:szCs w:val="21"/>
              </w:rPr>
              <w:t>/</w:t>
            </w:r>
            <w:r w:rsidRPr="00B728DE">
              <w:rPr>
                <w:rFonts w:hAnsi="宋体"/>
                <w:b/>
                <w:bCs/>
                <w:kern w:val="0"/>
                <w:szCs w:val="21"/>
              </w:rPr>
              <w:t>项）</w:t>
            </w:r>
          </w:p>
        </w:tc>
      </w:tr>
      <w:tr w:rsidR="001E2021" w:rsidRPr="00B728DE" w:rsidTr="00FB3E87">
        <w:trPr>
          <w:trHeight w:val="285"/>
        </w:trPr>
        <w:tc>
          <w:tcPr>
            <w:tcW w:w="1399" w:type="dxa"/>
            <w:vMerge w:val="restart"/>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center"/>
              <w:rPr>
                <w:kern w:val="0"/>
                <w:szCs w:val="21"/>
              </w:rPr>
            </w:pPr>
            <w:r w:rsidRPr="00B728DE">
              <w:rPr>
                <w:rFonts w:hAnsi="宋体"/>
                <w:kern w:val="0"/>
                <w:szCs w:val="21"/>
              </w:rPr>
              <w:t>论文与专著</w:t>
            </w: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kern w:val="0"/>
                <w:szCs w:val="21"/>
              </w:rPr>
              <w:t>SCI</w:t>
            </w:r>
            <w:r w:rsidRPr="00B728DE">
              <w:rPr>
                <w:rFonts w:hAnsi="宋体"/>
                <w:kern w:val="0"/>
                <w:szCs w:val="21"/>
              </w:rPr>
              <w:t>（影响因</w:t>
            </w:r>
            <w:r w:rsidRPr="006404A1">
              <w:rPr>
                <w:rFonts w:ascii="宋体" w:hAnsi="宋体"/>
                <w:kern w:val="0"/>
                <w:szCs w:val="21"/>
              </w:rPr>
              <w:t>子</w:t>
            </w:r>
            <w:r>
              <w:rPr>
                <w:rFonts w:ascii="宋体" w:hAnsi="宋体" w:hint="eastAsia"/>
                <w:kern w:val="0"/>
                <w:szCs w:val="21"/>
              </w:rPr>
              <w:t>≥</w:t>
            </w:r>
            <w:r w:rsidRPr="00B728DE">
              <w:rPr>
                <w:kern w:val="0"/>
                <w:szCs w:val="21"/>
              </w:rPr>
              <w:t>3</w:t>
            </w:r>
            <w:r w:rsidRPr="00B728DE">
              <w:rPr>
                <w:rFonts w:hAnsi="宋体"/>
                <w:kern w:val="0"/>
                <w:szCs w:val="21"/>
              </w:rPr>
              <w:t>）</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kern w:val="0"/>
                <w:szCs w:val="21"/>
              </w:rPr>
            </w:pPr>
            <w:r>
              <w:rPr>
                <w:rFonts w:hint="eastAsia"/>
                <w:kern w:val="0"/>
                <w:szCs w:val="21"/>
              </w:rPr>
              <w:t>10</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kern w:val="0"/>
                <w:szCs w:val="21"/>
              </w:rPr>
              <w:t>SCI</w:t>
            </w:r>
            <w:r w:rsidRPr="00B728DE">
              <w:rPr>
                <w:rFonts w:hAnsi="宋体"/>
                <w:kern w:val="0"/>
                <w:szCs w:val="21"/>
              </w:rPr>
              <w:t>（</w:t>
            </w:r>
            <w:r w:rsidRPr="006404A1">
              <w:rPr>
                <w:rFonts w:ascii="宋体" w:hAnsi="宋体"/>
                <w:kern w:val="0"/>
                <w:szCs w:val="21"/>
              </w:rPr>
              <w:t>1</w:t>
            </w:r>
            <w:r>
              <w:rPr>
                <w:rFonts w:ascii="宋体" w:hAnsi="宋体" w:hint="eastAsia"/>
                <w:kern w:val="0"/>
                <w:szCs w:val="21"/>
              </w:rPr>
              <w:t>≤</w:t>
            </w:r>
            <w:r w:rsidRPr="00B728DE">
              <w:rPr>
                <w:rFonts w:hAnsi="宋体"/>
                <w:kern w:val="0"/>
                <w:szCs w:val="21"/>
              </w:rPr>
              <w:t>影响因子</w:t>
            </w:r>
            <w:r w:rsidRPr="00B728DE">
              <w:rPr>
                <w:kern w:val="0"/>
                <w:szCs w:val="21"/>
              </w:rPr>
              <w:t>&lt;3</w:t>
            </w:r>
            <w:r w:rsidRPr="00B728DE">
              <w:rPr>
                <w:rFonts w:hAnsi="宋体"/>
                <w:kern w:val="0"/>
                <w:szCs w:val="21"/>
              </w:rPr>
              <w:t>）</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8</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kern w:val="0"/>
                <w:szCs w:val="21"/>
              </w:rPr>
              <w:t>SCI</w:t>
            </w:r>
            <w:r w:rsidRPr="00B728DE">
              <w:rPr>
                <w:rFonts w:hAnsi="宋体"/>
                <w:kern w:val="0"/>
                <w:szCs w:val="21"/>
              </w:rPr>
              <w:t>（影响因子</w:t>
            </w:r>
            <w:r w:rsidRPr="00B728DE">
              <w:rPr>
                <w:kern w:val="0"/>
                <w:szCs w:val="21"/>
              </w:rPr>
              <w:t>&lt;1</w:t>
            </w:r>
            <w:r w:rsidRPr="00B728DE">
              <w:rPr>
                <w:rFonts w:hAnsi="宋体"/>
                <w:kern w:val="0"/>
                <w:szCs w:val="21"/>
              </w:rPr>
              <w:t>）</w:t>
            </w:r>
            <w:r w:rsidRPr="00B728DE">
              <w:rPr>
                <w:kern w:val="0"/>
                <w:szCs w:val="21"/>
              </w:rPr>
              <w:t xml:space="preserve">/ </w:t>
            </w:r>
            <w:r w:rsidRPr="00B728DE">
              <w:rPr>
                <w:rFonts w:hAnsi="宋体"/>
                <w:kern w:val="0"/>
                <w:szCs w:val="21"/>
              </w:rPr>
              <w:t>期刊</w:t>
            </w:r>
            <w:r w:rsidRPr="00B728DE">
              <w:rPr>
                <w:kern w:val="0"/>
                <w:szCs w:val="21"/>
              </w:rPr>
              <w:t>EI</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6</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rPr>
                <w:kern w:val="0"/>
                <w:szCs w:val="21"/>
              </w:rPr>
            </w:pPr>
            <w:r w:rsidRPr="00B728DE">
              <w:rPr>
                <w:rFonts w:hAnsi="宋体"/>
                <w:kern w:val="0"/>
                <w:szCs w:val="21"/>
              </w:rPr>
              <w:t>中文核心</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3</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rPr>
                <w:rFonts w:hAnsi="宋体" w:hint="eastAsia"/>
                <w:kern w:val="0"/>
                <w:szCs w:val="21"/>
              </w:rPr>
            </w:pPr>
            <w:r>
              <w:rPr>
                <w:rFonts w:hAnsi="宋体" w:hint="eastAsia"/>
                <w:kern w:val="0"/>
                <w:szCs w:val="21"/>
              </w:rPr>
              <w:t>普通期刊</w:t>
            </w:r>
          </w:p>
        </w:tc>
        <w:tc>
          <w:tcPr>
            <w:tcW w:w="3174" w:type="dxa"/>
            <w:tcBorders>
              <w:top w:val="nil"/>
              <w:left w:val="nil"/>
              <w:bottom w:val="single" w:sz="4" w:space="0" w:color="auto"/>
              <w:right w:val="single" w:sz="4" w:space="0" w:color="auto"/>
            </w:tcBorders>
            <w:vAlign w:val="center"/>
          </w:tcPr>
          <w:p w:rsidR="001E2021" w:rsidRPr="00B728DE" w:rsidDel="00B21465" w:rsidRDefault="001E2021" w:rsidP="00FB3E87">
            <w:pPr>
              <w:widowControl/>
              <w:jc w:val="center"/>
              <w:rPr>
                <w:rFonts w:hint="eastAsia"/>
                <w:kern w:val="0"/>
                <w:szCs w:val="21"/>
              </w:rPr>
            </w:pPr>
            <w:r>
              <w:rPr>
                <w:rFonts w:hint="eastAsia"/>
                <w:kern w:val="0"/>
                <w:szCs w:val="21"/>
              </w:rPr>
              <w:t>1</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专著</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每</w:t>
            </w:r>
            <w:r w:rsidRPr="00B728DE">
              <w:rPr>
                <w:kern w:val="0"/>
                <w:szCs w:val="21"/>
              </w:rPr>
              <w:t>10</w:t>
            </w:r>
            <w:r w:rsidRPr="00B728DE">
              <w:rPr>
                <w:rFonts w:hAnsi="宋体"/>
                <w:kern w:val="0"/>
                <w:szCs w:val="21"/>
              </w:rPr>
              <w:t>万字</w:t>
            </w:r>
            <w:r>
              <w:rPr>
                <w:rFonts w:hAnsi="宋体" w:hint="eastAsia"/>
                <w:kern w:val="0"/>
                <w:szCs w:val="21"/>
              </w:rPr>
              <w:t>0.5</w:t>
            </w:r>
            <w:r>
              <w:rPr>
                <w:rFonts w:hAnsi="宋体"/>
                <w:kern w:val="0"/>
                <w:szCs w:val="21"/>
              </w:rPr>
              <w:t>，最高</w:t>
            </w:r>
            <w:r>
              <w:rPr>
                <w:kern w:val="0"/>
                <w:szCs w:val="21"/>
              </w:rPr>
              <w:t>3</w:t>
            </w:r>
          </w:p>
        </w:tc>
      </w:tr>
      <w:tr w:rsidR="001E2021" w:rsidRPr="00B728DE" w:rsidTr="00FB3E87">
        <w:trPr>
          <w:trHeight w:val="285"/>
        </w:trPr>
        <w:tc>
          <w:tcPr>
            <w:tcW w:w="1399" w:type="dxa"/>
            <w:vMerge w:val="restart"/>
            <w:tcBorders>
              <w:top w:val="nil"/>
              <w:left w:val="single" w:sz="4" w:space="0" w:color="auto"/>
              <w:bottom w:val="single" w:sz="4" w:space="0" w:color="auto"/>
              <w:right w:val="single" w:sz="4" w:space="0" w:color="auto"/>
            </w:tcBorders>
            <w:vAlign w:val="center"/>
          </w:tcPr>
          <w:p w:rsidR="001E2021" w:rsidRPr="00B728DE" w:rsidRDefault="001E2021" w:rsidP="00FB3E87">
            <w:pPr>
              <w:widowControl/>
              <w:jc w:val="center"/>
              <w:rPr>
                <w:kern w:val="0"/>
                <w:szCs w:val="21"/>
              </w:rPr>
            </w:pPr>
            <w:r w:rsidRPr="00B728DE">
              <w:rPr>
                <w:rFonts w:hAnsi="宋体"/>
                <w:kern w:val="0"/>
                <w:szCs w:val="21"/>
              </w:rPr>
              <w:t>授权专利</w:t>
            </w: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发明专利</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8</w:t>
            </w:r>
          </w:p>
        </w:tc>
      </w:tr>
      <w:tr w:rsidR="001E2021" w:rsidRPr="00B728DE" w:rsidTr="00FB3E87">
        <w:trPr>
          <w:trHeight w:val="285"/>
        </w:trPr>
        <w:tc>
          <w:tcPr>
            <w:tcW w:w="1399" w:type="dxa"/>
            <w:vMerge/>
            <w:tcBorders>
              <w:top w:val="nil"/>
              <w:left w:val="single" w:sz="4" w:space="0" w:color="auto"/>
              <w:bottom w:val="single" w:sz="4" w:space="0" w:color="auto"/>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实用新型</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rFonts w:hint="eastAsia"/>
                <w:kern w:val="0"/>
                <w:szCs w:val="21"/>
              </w:rPr>
              <w:t>2</w:t>
            </w:r>
          </w:p>
        </w:tc>
      </w:tr>
      <w:tr w:rsidR="001E2021" w:rsidRPr="00B728DE" w:rsidTr="00FB3E87">
        <w:trPr>
          <w:trHeight w:val="285"/>
        </w:trPr>
        <w:tc>
          <w:tcPr>
            <w:tcW w:w="1399" w:type="dxa"/>
            <w:vMerge w:val="restart"/>
            <w:tcBorders>
              <w:top w:val="single" w:sz="4" w:space="0" w:color="auto"/>
              <w:left w:val="single" w:sz="4" w:space="0" w:color="auto"/>
              <w:bottom w:val="single" w:sz="4" w:space="0" w:color="000000"/>
              <w:right w:val="single" w:sz="4" w:space="0" w:color="auto"/>
            </w:tcBorders>
            <w:vAlign w:val="center"/>
          </w:tcPr>
          <w:p w:rsidR="001E2021" w:rsidRPr="00B728DE" w:rsidRDefault="001E2021" w:rsidP="00FB3E87">
            <w:pPr>
              <w:widowControl/>
              <w:jc w:val="center"/>
              <w:rPr>
                <w:kern w:val="0"/>
                <w:szCs w:val="21"/>
              </w:rPr>
            </w:pPr>
            <w:r w:rsidRPr="00B728DE">
              <w:rPr>
                <w:rFonts w:hAnsi="宋体"/>
                <w:kern w:val="0"/>
                <w:szCs w:val="21"/>
              </w:rPr>
              <w:t>获奖</w:t>
            </w:r>
          </w:p>
        </w:tc>
        <w:tc>
          <w:tcPr>
            <w:tcW w:w="3949" w:type="dxa"/>
            <w:tcBorders>
              <w:top w:val="single" w:sz="4" w:space="0" w:color="auto"/>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省部级一等奖</w:t>
            </w:r>
            <w:r>
              <w:rPr>
                <w:rFonts w:hAnsi="宋体" w:hint="eastAsia"/>
                <w:kern w:val="0"/>
                <w:szCs w:val="21"/>
              </w:rPr>
              <w:t>（及以上）</w:t>
            </w:r>
          </w:p>
        </w:tc>
        <w:tc>
          <w:tcPr>
            <w:tcW w:w="3174" w:type="dxa"/>
            <w:tcBorders>
              <w:top w:val="single" w:sz="4" w:space="0" w:color="auto"/>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kern w:val="0"/>
                <w:szCs w:val="21"/>
              </w:rPr>
              <w:t>4</w:t>
            </w:r>
          </w:p>
        </w:tc>
      </w:tr>
      <w:tr w:rsidR="001E2021" w:rsidRPr="00B728DE" w:rsidTr="00FB3E87">
        <w:trPr>
          <w:trHeight w:val="285"/>
        </w:trPr>
        <w:tc>
          <w:tcPr>
            <w:tcW w:w="1399" w:type="dxa"/>
            <w:vMerge/>
            <w:tcBorders>
              <w:top w:val="nil"/>
              <w:left w:val="single" w:sz="4" w:space="0" w:color="auto"/>
              <w:bottom w:val="single" w:sz="4" w:space="0" w:color="000000"/>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省部级二等奖</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rFonts w:hint="eastAsia"/>
                <w:kern w:val="0"/>
                <w:szCs w:val="21"/>
              </w:rPr>
            </w:pPr>
            <w:r>
              <w:rPr>
                <w:kern w:val="0"/>
                <w:szCs w:val="21"/>
              </w:rPr>
              <w:t>3</w:t>
            </w:r>
          </w:p>
        </w:tc>
      </w:tr>
      <w:tr w:rsidR="001E2021" w:rsidRPr="00B728DE" w:rsidTr="00FB3E87">
        <w:trPr>
          <w:trHeight w:val="273"/>
        </w:trPr>
        <w:tc>
          <w:tcPr>
            <w:tcW w:w="1399" w:type="dxa"/>
            <w:vMerge/>
            <w:tcBorders>
              <w:top w:val="nil"/>
              <w:left w:val="single" w:sz="4" w:space="0" w:color="auto"/>
              <w:bottom w:val="single" w:sz="4" w:space="0" w:color="auto"/>
              <w:right w:val="single" w:sz="4" w:space="0" w:color="auto"/>
            </w:tcBorders>
            <w:vAlign w:val="center"/>
          </w:tcPr>
          <w:p w:rsidR="001E2021" w:rsidRPr="00B728DE" w:rsidRDefault="001E2021" w:rsidP="00FB3E87">
            <w:pPr>
              <w:widowControl/>
              <w:jc w:val="left"/>
              <w:rPr>
                <w:kern w:val="0"/>
                <w:szCs w:val="21"/>
              </w:rPr>
            </w:pPr>
          </w:p>
        </w:tc>
        <w:tc>
          <w:tcPr>
            <w:tcW w:w="3949" w:type="dxa"/>
            <w:tcBorders>
              <w:top w:val="nil"/>
              <w:left w:val="nil"/>
              <w:bottom w:val="single" w:sz="4" w:space="0" w:color="auto"/>
              <w:right w:val="single" w:sz="4" w:space="0" w:color="auto"/>
            </w:tcBorders>
            <w:vAlign w:val="bottom"/>
          </w:tcPr>
          <w:p w:rsidR="001E2021" w:rsidRPr="00B728DE" w:rsidRDefault="001E2021" w:rsidP="00FB3E87">
            <w:pPr>
              <w:widowControl/>
              <w:jc w:val="left"/>
              <w:rPr>
                <w:kern w:val="0"/>
                <w:szCs w:val="21"/>
              </w:rPr>
            </w:pPr>
            <w:r w:rsidRPr="00B728DE">
              <w:rPr>
                <w:rFonts w:hAnsi="宋体"/>
                <w:kern w:val="0"/>
                <w:szCs w:val="21"/>
              </w:rPr>
              <w:t>省部级其他奖</w:t>
            </w:r>
          </w:p>
        </w:tc>
        <w:tc>
          <w:tcPr>
            <w:tcW w:w="3174" w:type="dxa"/>
            <w:tcBorders>
              <w:top w:val="nil"/>
              <w:left w:val="nil"/>
              <w:bottom w:val="single" w:sz="4" w:space="0" w:color="auto"/>
              <w:right w:val="single" w:sz="4" w:space="0" w:color="auto"/>
            </w:tcBorders>
            <w:vAlign w:val="center"/>
          </w:tcPr>
          <w:p w:rsidR="001E2021" w:rsidRPr="00B728DE" w:rsidRDefault="001E2021" w:rsidP="00FB3E87">
            <w:pPr>
              <w:widowControl/>
              <w:jc w:val="center"/>
              <w:rPr>
                <w:kern w:val="0"/>
                <w:szCs w:val="21"/>
              </w:rPr>
            </w:pPr>
            <w:r>
              <w:rPr>
                <w:kern w:val="0"/>
                <w:szCs w:val="21"/>
              </w:rPr>
              <w:t>2</w:t>
            </w:r>
            <w:r w:rsidRPr="00B728DE">
              <w:rPr>
                <w:kern w:val="0"/>
                <w:szCs w:val="21"/>
              </w:rPr>
              <w:t xml:space="preserve"> </w:t>
            </w:r>
          </w:p>
        </w:tc>
      </w:tr>
    </w:tbl>
    <w:p w:rsidR="001E2021" w:rsidRDefault="001E2021" w:rsidP="001E2021">
      <w:pPr>
        <w:spacing w:line="360" w:lineRule="auto"/>
        <w:rPr>
          <w:rFonts w:hAnsi="宋体" w:hint="eastAsia"/>
          <w:szCs w:val="21"/>
        </w:rPr>
      </w:pPr>
      <w:r w:rsidRPr="00B728DE">
        <w:rPr>
          <w:rFonts w:hAnsi="宋体"/>
          <w:szCs w:val="21"/>
        </w:rPr>
        <w:t>注：</w:t>
      </w:r>
    </w:p>
    <w:p w:rsidR="001E2021" w:rsidRPr="00AC4605" w:rsidRDefault="001E2021" w:rsidP="001E2021">
      <w:pPr>
        <w:numPr>
          <w:ilvl w:val="0"/>
          <w:numId w:val="1"/>
        </w:numPr>
        <w:spacing w:line="360" w:lineRule="auto"/>
        <w:rPr>
          <w:rFonts w:hAnsi="宋体"/>
          <w:szCs w:val="21"/>
        </w:rPr>
      </w:pPr>
      <w:r w:rsidRPr="00AC4605">
        <w:rPr>
          <w:rFonts w:hAnsi="宋体"/>
          <w:szCs w:val="21"/>
        </w:rPr>
        <w:t>所有成果署名必须是</w:t>
      </w:r>
      <w:r w:rsidRPr="00AC4605">
        <w:rPr>
          <w:szCs w:val="21"/>
        </w:rPr>
        <w:t>城市雨水系统与水环境教育部重点实验室</w:t>
      </w:r>
      <w:r w:rsidRPr="00AC4605">
        <w:rPr>
          <w:rFonts w:hAnsi="宋体"/>
          <w:szCs w:val="21"/>
        </w:rPr>
        <w:t>为第一单位</w:t>
      </w:r>
      <w:r>
        <w:rPr>
          <w:rFonts w:hAnsi="宋体" w:hint="eastAsia"/>
          <w:szCs w:val="21"/>
        </w:rPr>
        <w:t>。</w:t>
      </w:r>
      <w:r w:rsidRPr="00AC4605">
        <w:rPr>
          <w:szCs w:val="21"/>
        </w:rPr>
        <w:t xml:space="preserve"> </w:t>
      </w:r>
    </w:p>
    <w:p w:rsidR="001E2021" w:rsidRPr="00AC4605" w:rsidRDefault="001E2021" w:rsidP="001E2021">
      <w:pPr>
        <w:numPr>
          <w:ilvl w:val="0"/>
          <w:numId w:val="1"/>
        </w:numPr>
        <w:spacing w:line="360" w:lineRule="auto"/>
        <w:rPr>
          <w:szCs w:val="21"/>
        </w:rPr>
      </w:pPr>
      <w:r w:rsidRPr="00AC4605">
        <w:rPr>
          <w:rFonts w:hAnsi="宋体" w:hint="eastAsia"/>
          <w:szCs w:val="21"/>
        </w:rPr>
        <w:t>学生为第一作者</w:t>
      </w:r>
      <w:r w:rsidRPr="00AC4605">
        <w:rPr>
          <w:rFonts w:hAnsi="宋体"/>
          <w:szCs w:val="21"/>
        </w:rPr>
        <w:t>或导师</w:t>
      </w:r>
      <w:r w:rsidRPr="00AC4605">
        <w:rPr>
          <w:rFonts w:hAnsi="宋体" w:hint="eastAsia"/>
          <w:szCs w:val="21"/>
        </w:rPr>
        <w:t>为</w:t>
      </w:r>
      <w:r w:rsidRPr="00AC4605">
        <w:rPr>
          <w:rFonts w:hAnsi="宋体"/>
          <w:szCs w:val="21"/>
        </w:rPr>
        <w:t>第一、学生</w:t>
      </w:r>
      <w:r w:rsidRPr="00AC4605">
        <w:rPr>
          <w:rFonts w:hAnsi="宋体" w:hint="eastAsia"/>
          <w:szCs w:val="21"/>
        </w:rPr>
        <w:t>为</w:t>
      </w:r>
      <w:r w:rsidRPr="00AC4605">
        <w:rPr>
          <w:rFonts w:hAnsi="宋体"/>
          <w:szCs w:val="21"/>
        </w:rPr>
        <w:t>第二</w:t>
      </w:r>
      <w:r w:rsidRPr="00AC4605">
        <w:rPr>
          <w:rFonts w:hAnsi="宋体" w:hint="eastAsia"/>
          <w:szCs w:val="21"/>
        </w:rPr>
        <w:t>作者的论文</w:t>
      </w:r>
      <w:r w:rsidRPr="00AC4605">
        <w:rPr>
          <w:rFonts w:hAnsi="宋体"/>
          <w:szCs w:val="21"/>
        </w:rPr>
        <w:t>按表中满分计算；</w:t>
      </w:r>
      <w:r w:rsidRPr="00AC4605">
        <w:rPr>
          <w:rFonts w:hAnsi="宋体" w:hint="eastAsia"/>
          <w:szCs w:val="21"/>
        </w:rPr>
        <w:t>学生为第二作者（第一作者非导师）按满分的</w:t>
      </w:r>
      <w:r w:rsidRPr="00AC4605">
        <w:rPr>
          <w:rFonts w:hAnsi="宋体" w:hint="eastAsia"/>
          <w:szCs w:val="21"/>
        </w:rPr>
        <w:t>40%</w:t>
      </w:r>
      <w:r w:rsidRPr="00AC4605">
        <w:rPr>
          <w:rFonts w:hAnsi="宋体" w:hint="eastAsia"/>
          <w:szCs w:val="21"/>
        </w:rPr>
        <w:t>计算。</w:t>
      </w:r>
      <w:r w:rsidRPr="00AC4605">
        <w:rPr>
          <w:rFonts w:hAnsi="宋体"/>
          <w:szCs w:val="21"/>
        </w:rPr>
        <w:t>排名第三及以后的不参与计算</w:t>
      </w:r>
      <w:r>
        <w:rPr>
          <w:rFonts w:hAnsi="宋体" w:hint="eastAsia"/>
          <w:szCs w:val="21"/>
        </w:rPr>
        <w:t>。</w:t>
      </w:r>
    </w:p>
    <w:p w:rsidR="001E2021" w:rsidRPr="00AC4605" w:rsidRDefault="001E2021" w:rsidP="001E2021">
      <w:pPr>
        <w:numPr>
          <w:ilvl w:val="0"/>
          <w:numId w:val="1"/>
        </w:numPr>
        <w:spacing w:line="360" w:lineRule="auto"/>
        <w:rPr>
          <w:szCs w:val="21"/>
        </w:rPr>
      </w:pPr>
      <w:r w:rsidRPr="00AC4605">
        <w:rPr>
          <w:rFonts w:hAnsi="宋体"/>
          <w:szCs w:val="21"/>
        </w:rPr>
        <w:t>获奖、专利成果按照署名顺序从第一至第五依次为</w:t>
      </w:r>
      <w:r w:rsidRPr="00AC4605">
        <w:rPr>
          <w:rFonts w:hAnsi="宋体" w:hint="eastAsia"/>
          <w:szCs w:val="21"/>
        </w:rPr>
        <w:t>表中满分的</w:t>
      </w:r>
      <w:r w:rsidRPr="00AC4605">
        <w:rPr>
          <w:szCs w:val="21"/>
        </w:rPr>
        <w:t>100%</w:t>
      </w:r>
      <w:r w:rsidRPr="00AC4605">
        <w:rPr>
          <w:rFonts w:hAnsi="宋体"/>
          <w:szCs w:val="21"/>
        </w:rPr>
        <w:t>、</w:t>
      </w:r>
      <w:r w:rsidRPr="00AC4605">
        <w:rPr>
          <w:szCs w:val="21"/>
        </w:rPr>
        <w:t>50%</w:t>
      </w:r>
      <w:r w:rsidRPr="00AC4605">
        <w:rPr>
          <w:rFonts w:hAnsi="宋体"/>
          <w:szCs w:val="21"/>
        </w:rPr>
        <w:t>、</w:t>
      </w:r>
      <w:r w:rsidRPr="00AC4605">
        <w:rPr>
          <w:szCs w:val="21"/>
        </w:rPr>
        <w:t>30%</w:t>
      </w:r>
      <w:r w:rsidRPr="00AC4605">
        <w:rPr>
          <w:rFonts w:hAnsi="宋体"/>
          <w:szCs w:val="21"/>
        </w:rPr>
        <w:t>、</w:t>
      </w:r>
      <w:r w:rsidRPr="00AC4605">
        <w:rPr>
          <w:szCs w:val="21"/>
        </w:rPr>
        <w:t>20%</w:t>
      </w:r>
      <w:r w:rsidRPr="00AC4605">
        <w:rPr>
          <w:rFonts w:hAnsi="宋体"/>
          <w:szCs w:val="21"/>
        </w:rPr>
        <w:t>、</w:t>
      </w:r>
      <w:r w:rsidRPr="00AC4605">
        <w:rPr>
          <w:szCs w:val="21"/>
        </w:rPr>
        <w:t>10%</w:t>
      </w:r>
      <w:r w:rsidRPr="00AC4605">
        <w:rPr>
          <w:rFonts w:hAnsi="宋体"/>
          <w:szCs w:val="21"/>
        </w:rPr>
        <w:t>递减，之后的不参与计算</w:t>
      </w:r>
      <w:r>
        <w:rPr>
          <w:rFonts w:hAnsi="宋体" w:hint="eastAsia"/>
          <w:szCs w:val="21"/>
        </w:rPr>
        <w:t>。</w:t>
      </w:r>
    </w:p>
    <w:p w:rsidR="001E2021" w:rsidRPr="00AC4605" w:rsidRDefault="001E2021" w:rsidP="001E2021">
      <w:pPr>
        <w:numPr>
          <w:ilvl w:val="0"/>
          <w:numId w:val="1"/>
        </w:numPr>
        <w:spacing w:line="360" w:lineRule="auto"/>
        <w:rPr>
          <w:rFonts w:hAnsi="宋体" w:hint="eastAsia"/>
          <w:szCs w:val="21"/>
        </w:rPr>
      </w:pPr>
      <w:r w:rsidRPr="00AC4605">
        <w:rPr>
          <w:rFonts w:hAnsi="宋体"/>
          <w:szCs w:val="21"/>
        </w:rPr>
        <w:t>文章已发表或</w:t>
      </w:r>
      <w:r w:rsidRPr="00AC4605">
        <w:rPr>
          <w:rFonts w:hAnsi="宋体" w:hint="eastAsia"/>
          <w:szCs w:val="21"/>
        </w:rPr>
        <w:t>网络发表（分配</w:t>
      </w:r>
      <w:r w:rsidRPr="00AC4605">
        <w:rPr>
          <w:rFonts w:hAnsi="宋体" w:hint="eastAsia"/>
          <w:szCs w:val="21"/>
        </w:rPr>
        <w:t>DOI</w:t>
      </w:r>
      <w:r w:rsidRPr="00AC4605">
        <w:rPr>
          <w:rFonts w:hAnsi="宋体" w:hint="eastAsia"/>
          <w:szCs w:val="21"/>
        </w:rPr>
        <w:t>号码）方为</w:t>
      </w:r>
      <w:r w:rsidRPr="00AC4605">
        <w:rPr>
          <w:rFonts w:hAnsi="宋体"/>
          <w:szCs w:val="21"/>
        </w:rPr>
        <w:t>有效；专利以获得授权通知</w:t>
      </w:r>
      <w:r w:rsidRPr="00AC4605">
        <w:rPr>
          <w:rFonts w:hAnsi="宋体" w:hint="eastAsia"/>
          <w:szCs w:val="21"/>
        </w:rPr>
        <w:t>为准</w:t>
      </w:r>
      <w:r w:rsidRPr="00AC4605">
        <w:rPr>
          <w:rFonts w:hAnsi="宋体"/>
          <w:szCs w:val="21"/>
        </w:rPr>
        <w:t>。</w:t>
      </w:r>
    </w:p>
    <w:p w:rsidR="001E2021" w:rsidRPr="00AC4605" w:rsidRDefault="001E2021" w:rsidP="001E2021">
      <w:pPr>
        <w:numPr>
          <w:ilvl w:val="0"/>
          <w:numId w:val="1"/>
        </w:numPr>
        <w:spacing w:line="360" w:lineRule="auto"/>
        <w:rPr>
          <w:rFonts w:hAnsi="宋体" w:hint="eastAsia"/>
          <w:szCs w:val="21"/>
        </w:rPr>
      </w:pPr>
      <w:r w:rsidRPr="00AC4605">
        <w:rPr>
          <w:rFonts w:hAnsi="宋体" w:hint="eastAsia"/>
          <w:szCs w:val="21"/>
        </w:rPr>
        <w:t>会议论文不在计分范围。</w:t>
      </w:r>
    </w:p>
    <w:p w:rsidR="001E2021" w:rsidRPr="00AC4605" w:rsidRDefault="001E2021" w:rsidP="001E2021">
      <w:pPr>
        <w:numPr>
          <w:ilvl w:val="0"/>
          <w:numId w:val="1"/>
        </w:numPr>
        <w:spacing w:line="360" w:lineRule="auto"/>
        <w:rPr>
          <w:rFonts w:hAnsi="宋体" w:hint="eastAsia"/>
          <w:szCs w:val="21"/>
        </w:rPr>
      </w:pPr>
      <w:r w:rsidRPr="00AC4605">
        <w:rPr>
          <w:rFonts w:hAnsi="宋体" w:hint="eastAsia"/>
          <w:szCs w:val="21"/>
        </w:rPr>
        <w:t>学生省部级获奖包括北京市及全国一级学会组织的相关学科竞赛。本标准未涉及的其余奖项级别由瑞士万通奖学金委员会审定。</w:t>
      </w:r>
    </w:p>
    <w:p w:rsidR="001E2021" w:rsidRPr="001E2021" w:rsidRDefault="001E2021" w:rsidP="001E2021">
      <w:pPr>
        <w:numPr>
          <w:ilvl w:val="0"/>
          <w:numId w:val="1"/>
        </w:numPr>
        <w:spacing w:line="360" w:lineRule="auto"/>
        <w:rPr>
          <w:rFonts w:hint="eastAsia"/>
        </w:rPr>
      </w:pPr>
      <w:r w:rsidRPr="001E2021">
        <w:rPr>
          <w:rFonts w:hAnsi="宋体" w:hint="eastAsia"/>
          <w:szCs w:val="21"/>
        </w:rPr>
        <w:t>一个成果仅能使用一次，且不得用于多人评奖。用于申请研究生国家奖学金的成果不能重复用于本奖学金申请。用于申请本奖学金所用成果不能再次用于下一学年度该奖学金的评定，也不能用于下年度研究生国家奖学金的申请。</w:t>
      </w:r>
    </w:p>
    <w:p w:rsidR="00365049" w:rsidRDefault="001E2021" w:rsidP="001E2021">
      <w:pPr>
        <w:numPr>
          <w:ilvl w:val="0"/>
          <w:numId w:val="1"/>
        </w:numPr>
        <w:spacing w:line="360" w:lineRule="auto"/>
      </w:pPr>
      <w:r w:rsidRPr="001E2021">
        <w:rPr>
          <w:rFonts w:hAnsi="宋体"/>
          <w:szCs w:val="21"/>
        </w:rPr>
        <w:t>其他未尽事宜由瑞士万通奖学金</w:t>
      </w:r>
      <w:r w:rsidRPr="001E2021">
        <w:rPr>
          <w:rFonts w:ascii="宋体" w:hAnsi="宋体"/>
          <w:szCs w:val="21"/>
        </w:rPr>
        <w:t>评定委员会讨论</w:t>
      </w:r>
      <w:r w:rsidRPr="001E2021">
        <w:rPr>
          <w:rFonts w:ascii="宋体" w:hAnsi="宋体" w:hint="eastAsia"/>
          <w:szCs w:val="21"/>
        </w:rPr>
        <w:t>决定，该委员会拥有最终解释权</w:t>
      </w:r>
      <w:r w:rsidRPr="001E2021">
        <w:rPr>
          <w:rFonts w:ascii="宋体" w:hAnsi="宋体"/>
          <w:szCs w:val="21"/>
        </w:rPr>
        <w:t>。</w:t>
      </w:r>
    </w:p>
    <w:sectPr w:rsidR="003650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049" w:rsidRDefault="00365049" w:rsidP="001E2021">
      <w:r>
        <w:separator/>
      </w:r>
    </w:p>
  </w:endnote>
  <w:endnote w:type="continuationSeparator" w:id="1">
    <w:p w:rsidR="00365049" w:rsidRDefault="00365049" w:rsidP="001E2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049" w:rsidRDefault="00365049" w:rsidP="001E2021">
      <w:r>
        <w:separator/>
      </w:r>
    </w:p>
  </w:footnote>
  <w:footnote w:type="continuationSeparator" w:id="1">
    <w:p w:rsidR="00365049" w:rsidRDefault="00365049" w:rsidP="001E2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94CE7"/>
    <w:multiLevelType w:val="hybridMultilevel"/>
    <w:tmpl w:val="0DFE42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021"/>
    <w:rsid w:val="001E2021"/>
    <w:rsid w:val="00365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0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021"/>
    <w:rPr>
      <w:sz w:val="18"/>
      <w:szCs w:val="18"/>
    </w:rPr>
  </w:style>
  <w:style w:type="paragraph" w:styleId="a4">
    <w:name w:val="footer"/>
    <w:basedOn w:val="a"/>
    <w:link w:val="Char0"/>
    <w:uiPriority w:val="99"/>
    <w:semiHidden/>
    <w:unhideWhenUsed/>
    <w:rsid w:val="001E20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20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ccwang</dc:creator>
  <cp:keywords/>
  <dc:description/>
  <cp:lastModifiedBy>ccwang</cp:lastModifiedBy>
  <cp:revision>2</cp:revision>
  <dcterms:created xsi:type="dcterms:W3CDTF">2014-11-25T01:21:00Z</dcterms:created>
  <dcterms:modified xsi:type="dcterms:W3CDTF">2014-11-25T01:21:00Z</dcterms:modified>
</cp:coreProperties>
</file>